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7D7D" w14:textId="61F529F8" w:rsidR="00BA773B" w:rsidRPr="00BA773B" w:rsidRDefault="00BA773B" w:rsidP="00BA773B">
      <w:pPr>
        <w:pStyle w:val="Prrafodelista"/>
        <w:keepNext/>
        <w:keepLines/>
        <w:numPr>
          <w:ilvl w:val="0"/>
          <w:numId w:val="4"/>
        </w:numPr>
        <w:spacing w:before="360" w:after="80"/>
        <w:outlineLvl w:val="0"/>
        <w:rPr>
          <w:rFonts w:ascii="Calibri" w:eastAsia="Yu Gothic Light" w:hAnsi="Calibri" w:cs="Calibri"/>
          <w:b/>
          <w:bCs/>
          <w:color w:val="0F4761"/>
          <w:lang w:val="en-GB"/>
        </w:rPr>
      </w:pPr>
      <w:bookmarkStart w:id="0" w:name="_Toc222764398"/>
      <w:r w:rsidRPr="00BA773B">
        <w:rPr>
          <w:rFonts w:ascii="Calibri" w:eastAsia="Yu Gothic Light" w:hAnsi="Calibri" w:cs="Calibri"/>
          <w:b/>
          <w:bCs/>
          <w:color w:val="0F4761"/>
          <w:lang w:val="en-GB"/>
        </w:rPr>
        <w:t>Models of patient participation in 3D printing assistive technology</w:t>
      </w:r>
      <w:bookmarkEnd w:id="0"/>
    </w:p>
    <w:p w14:paraId="4D91286F" w14:textId="77777777" w:rsidR="00BA773B" w:rsidRPr="00BA773B" w:rsidRDefault="00BA773B" w:rsidP="00BA773B">
      <w:pPr>
        <w:jc w:val="both"/>
        <w:rPr>
          <w:rFonts w:ascii="Aptos" w:eastAsia="Aptos" w:hAnsi="Aptos" w:cs="Arial"/>
          <w:lang w:val="en-GB"/>
        </w:rPr>
      </w:pPr>
      <w:r w:rsidRPr="00BA773B">
        <w:rPr>
          <w:rFonts w:ascii="Calibri" w:eastAsia="Calibri" w:hAnsi="Calibri" w:cs="Calibri"/>
          <w:lang w:val="en-GB"/>
        </w:rPr>
        <w:t>In the field of medical care, 3D printing has emerged as a crucial enabler for patient-</w:t>
      </w:r>
      <w:proofErr w:type="spellStart"/>
      <w:r w:rsidRPr="00BA773B">
        <w:rPr>
          <w:rFonts w:ascii="Calibri" w:eastAsia="Calibri" w:hAnsi="Calibri" w:cs="Calibri"/>
          <w:lang w:val="en-GB"/>
        </w:rPr>
        <w:t>centered</w:t>
      </w:r>
      <w:proofErr w:type="spellEnd"/>
      <w:r w:rsidRPr="00BA773B">
        <w:rPr>
          <w:rFonts w:ascii="Calibri" w:eastAsia="Calibri" w:hAnsi="Calibri" w:cs="Calibri"/>
          <w:lang w:val="en-GB"/>
        </w:rPr>
        <w:t xml:space="preserve"> care models, particularly in the creation of personalized assistive devices that significantly improve users’ quality of life. The combination of user-</w:t>
      </w:r>
      <w:proofErr w:type="spellStart"/>
      <w:r w:rsidRPr="00BA773B">
        <w:rPr>
          <w:rFonts w:ascii="Calibri" w:eastAsia="Calibri" w:hAnsi="Calibri" w:cs="Calibri"/>
          <w:lang w:val="en-GB"/>
        </w:rPr>
        <w:t>centered</w:t>
      </w:r>
      <w:proofErr w:type="spellEnd"/>
      <w:r w:rsidRPr="00BA773B">
        <w:rPr>
          <w:rFonts w:ascii="Calibri" w:eastAsia="Calibri" w:hAnsi="Calibri" w:cs="Calibri"/>
          <w:lang w:val="en-GB"/>
        </w:rPr>
        <w:t xml:space="preserve"> design and 3D printing technologies shapes an innovative approach to the development of assistive technologies. This approach is based on continuous interaction among engineers, designers, occupational therapists, end users, and, in some cases, family members. This interactive process is essential during the initial design phases and throughout iterations to promote improvements between conceptual and functional prototypes (26).</w:t>
      </w:r>
    </w:p>
    <w:p w14:paraId="54C90643" w14:textId="77777777" w:rsidR="00BA773B" w:rsidRPr="00BA773B" w:rsidRDefault="00BA773B" w:rsidP="00BA773B">
      <w:pPr>
        <w:jc w:val="both"/>
        <w:rPr>
          <w:rFonts w:ascii="Calibri" w:eastAsia="Calibri" w:hAnsi="Calibri" w:cs="Calibri"/>
          <w:lang w:val="en-GB"/>
        </w:rPr>
      </w:pPr>
      <w:r w:rsidRPr="00BA773B">
        <w:rPr>
          <w:rFonts w:ascii="Calibri" w:eastAsia="Calibri" w:hAnsi="Calibri" w:cs="Calibri"/>
          <w:lang w:val="en-GB"/>
        </w:rPr>
        <w:t>Designing assistive technology with 3D printing requires a collaborative and multidisciplinary effort where technical knowledge and engineering tools are combined with a deep understanding of the user’s therapeutic and occupational performance needs. This approach not only increases the functionality and accessibility of the developed devices but also encourages personalization and innovation in assistive solutions that truly address the users’ specific needs.</w:t>
      </w:r>
    </w:p>
    <w:p w14:paraId="3F020D4F" w14:textId="77777777" w:rsidR="00BA773B" w:rsidRPr="00BA773B" w:rsidRDefault="00BA773B" w:rsidP="00BA773B">
      <w:pPr>
        <w:jc w:val="both"/>
        <w:rPr>
          <w:rFonts w:ascii="Aptos" w:eastAsia="Aptos" w:hAnsi="Aptos" w:cs="Arial"/>
          <w:lang w:val="en-GB"/>
        </w:rPr>
      </w:pPr>
      <w:r w:rsidRPr="00BA773B">
        <w:rPr>
          <w:rFonts w:ascii="Calibri" w:eastAsia="Calibri" w:hAnsi="Calibri" w:cs="Calibri"/>
          <w:lang w:val="en-GB"/>
        </w:rPr>
        <w:t xml:space="preserve">The multidisciplinary approach not only enhances the product development process but also ensures that assistive devices are more widely accepted by users, reducing the incidence of abandonment and increasing the efficiency in the use of resources. By </w:t>
      </w:r>
      <w:proofErr w:type="spellStart"/>
      <w:r w:rsidRPr="00BA773B">
        <w:rPr>
          <w:rFonts w:ascii="Calibri" w:eastAsia="Calibri" w:hAnsi="Calibri" w:cs="Calibri"/>
          <w:lang w:val="en-GB"/>
        </w:rPr>
        <w:t>centering</w:t>
      </w:r>
      <w:proofErr w:type="spellEnd"/>
      <w:r w:rsidRPr="00BA773B">
        <w:rPr>
          <w:rFonts w:ascii="Calibri" w:eastAsia="Calibri" w:hAnsi="Calibri" w:cs="Calibri"/>
          <w:lang w:val="en-GB"/>
        </w:rPr>
        <w:t xml:space="preserve"> the design on the user, 3D printing technology in the assistive field promotes greater independence and improves quality of life, making this integration a powerful tool in the evolution of personalized healthcare.</w:t>
      </w:r>
    </w:p>
    <w:p w14:paraId="4CC568CA" w14:textId="77777777" w:rsidR="00BA773B" w:rsidRPr="00BA773B" w:rsidRDefault="00BA773B" w:rsidP="00BA773B">
      <w:pPr>
        <w:jc w:val="both"/>
        <w:rPr>
          <w:rFonts w:ascii="Aptos" w:eastAsia="Aptos" w:hAnsi="Aptos" w:cs="Arial"/>
          <w:lang w:val="en-GB"/>
        </w:rPr>
      </w:pPr>
      <w:r w:rsidRPr="00BA773B">
        <w:rPr>
          <w:rFonts w:ascii="Calibri" w:eastAsia="Calibri" w:hAnsi="Calibri" w:cs="Calibri"/>
          <w:lang w:val="en-GB"/>
        </w:rPr>
        <w:t>In the development of assistive devices, the integration of user-</w:t>
      </w:r>
      <w:proofErr w:type="spellStart"/>
      <w:r w:rsidRPr="00BA773B">
        <w:rPr>
          <w:rFonts w:ascii="Calibri" w:eastAsia="Calibri" w:hAnsi="Calibri" w:cs="Calibri"/>
          <w:lang w:val="en-GB"/>
        </w:rPr>
        <w:t>centered</w:t>
      </w:r>
      <w:proofErr w:type="spellEnd"/>
      <w:r w:rsidRPr="00BA773B">
        <w:rPr>
          <w:rFonts w:ascii="Calibri" w:eastAsia="Calibri" w:hAnsi="Calibri" w:cs="Calibri"/>
          <w:lang w:val="en-GB"/>
        </w:rPr>
        <w:t xml:space="preserve"> design from the early stages of conceptualization through to final production is of utmost importance. This includes the application of various design techniques and methods, </w:t>
      </w:r>
      <w:proofErr w:type="gramStart"/>
      <w:r w:rsidRPr="00BA773B">
        <w:rPr>
          <w:rFonts w:ascii="Calibri" w:eastAsia="Calibri" w:hAnsi="Calibri" w:cs="Calibri"/>
          <w:lang w:val="en-GB"/>
        </w:rPr>
        <w:t>such as:</w:t>
      </w:r>
      <w:proofErr w:type="gramEnd"/>
      <w:r w:rsidRPr="00BA773B">
        <w:rPr>
          <w:rFonts w:ascii="Calibri" w:eastAsia="Calibri" w:hAnsi="Calibri" w:cs="Calibri"/>
          <w:lang w:val="en-GB"/>
        </w:rPr>
        <w:t xml:space="preserve"> focus groups, user-</w:t>
      </w:r>
      <w:proofErr w:type="spellStart"/>
      <w:r w:rsidRPr="00BA773B">
        <w:rPr>
          <w:rFonts w:ascii="Calibri" w:eastAsia="Calibri" w:hAnsi="Calibri" w:cs="Calibri"/>
          <w:lang w:val="en-GB"/>
        </w:rPr>
        <w:t>centered</w:t>
      </w:r>
      <w:proofErr w:type="spellEnd"/>
      <w:r w:rsidRPr="00BA773B">
        <w:rPr>
          <w:rFonts w:ascii="Calibri" w:eastAsia="Calibri" w:hAnsi="Calibri" w:cs="Calibri"/>
          <w:lang w:val="en-GB"/>
        </w:rPr>
        <w:t xml:space="preserve"> design workshops (UCD), surveys and questionnaires, ethnographic studies, and Participatory Action Research (PAR); all of which enable the creation of prototypes and final products that are precisely tailored to the users’ measurements and requirements (</w:t>
      </w:r>
      <w:r w:rsidRPr="00BA773B">
        <w:rPr>
          <w:rFonts w:ascii="Aptos" w:eastAsia="Aptos" w:hAnsi="Aptos" w:cs="Arial"/>
          <w:lang w:val="en-GB"/>
        </w:rPr>
        <w:t>27)</w:t>
      </w:r>
    </w:p>
    <w:p w14:paraId="4C51E619" w14:textId="77777777" w:rsidR="00BA773B" w:rsidRPr="00BA773B" w:rsidRDefault="00BA773B" w:rsidP="00BA773B">
      <w:pPr>
        <w:jc w:val="both"/>
        <w:rPr>
          <w:rFonts w:ascii="Aptos" w:eastAsia="Aptos" w:hAnsi="Aptos" w:cs="Arial"/>
          <w:lang w:val="en-GB"/>
        </w:rPr>
      </w:pPr>
      <w:r w:rsidRPr="00BA773B">
        <w:rPr>
          <w:rFonts w:ascii="Calibri" w:eastAsia="Calibri" w:hAnsi="Calibri" w:cs="Calibri"/>
          <w:lang w:val="en-GB"/>
        </w:rPr>
        <w:t>Focus Groups: This technique brings together small groups of patients to discuss and explore their experiences and perceptions regarding the healthcare they have received. The group dynamic allows for in-depth discussion, revealing needs and expectations that might not be evident in a more formal setting or in individual interviews. Focus groups are especially useful for obtaining feedback on new service proposals or modifications to existing procedures (</w:t>
      </w:r>
      <w:r w:rsidRPr="00BA773B">
        <w:rPr>
          <w:rFonts w:ascii="Aptos" w:eastAsia="Aptos" w:hAnsi="Aptos" w:cs="Arial"/>
          <w:lang w:val="en-GB"/>
        </w:rPr>
        <w:t>28)</w:t>
      </w:r>
    </w:p>
    <w:p w14:paraId="7CF52951" w14:textId="77777777" w:rsidR="00BA773B" w:rsidRPr="00BA773B" w:rsidRDefault="00BA773B" w:rsidP="00BA773B">
      <w:pPr>
        <w:jc w:val="both"/>
        <w:rPr>
          <w:rFonts w:ascii="Aptos" w:eastAsia="Aptos" w:hAnsi="Aptos" w:cs="Arial"/>
          <w:lang w:val="en-GB"/>
        </w:rPr>
      </w:pPr>
      <w:r w:rsidRPr="00BA773B">
        <w:rPr>
          <w:rFonts w:ascii="Calibri" w:eastAsia="Calibri" w:hAnsi="Calibri" w:cs="Calibri"/>
          <w:lang w:val="en-GB"/>
        </w:rPr>
        <w:t>User-</w:t>
      </w:r>
      <w:proofErr w:type="spellStart"/>
      <w:r w:rsidRPr="00BA773B">
        <w:rPr>
          <w:rFonts w:ascii="Calibri" w:eastAsia="Calibri" w:hAnsi="Calibri" w:cs="Calibri"/>
          <w:lang w:val="en-GB"/>
        </w:rPr>
        <w:t>Centered</w:t>
      </w:r>
      <w:proofErr w:type="spellEnd"/>
      <w:r w:rsidRPr="00BA773B">
        <w:rPr>
          <w:rFonts w:ascii="Calibri" w:eastAsia="Calibri" w:hAnsi="Calibri" w:cs="Calibri"/>
          <w:lang w:val="en-GB"/>
        </w:rPr>
        <w:t xml:space="preserve"> Design Workshops: These workshops directly involve patients in the design of healthcare solutions that affect them directly. Through interactive sessions, patients contribute their unique perspective, which helps designers and healthcare professionals create more intuitive and accessible services. This direct collaboration ensures that the final solutions are not only clinically effective but also welcomed by end users (29-34</w:t>
      </w:r>
      <w:r w:rsidRPr="00BA773B">
        <w:rPr>
          <w:rFonts w:ascii="Aptos" w:eastAsia="Aptos" w:hAnsi="Aptos" w:cs="Arial"/>
          <w:lang w:val="en-GB"/>
        </w:rPr>
        <w:t>)</w:t>
      </w:r>
    </w:p>
    <w:p w14:paraId="643EF944" w14:textId="77777777" w:rsidR="00BA773B" w:rsidRPr="00BA773B" w:rsidRDefault="00BA773B" w:rsidP="00BA773B">
      <w:pPr>
        <w:jc w:val="both"/>
        <w:rPr>
          <w:rFonts w:ascii="Calibri" w:eastAsia="Calibri" w:hAnsi="Calibri" w:cs="Calibri"/>
          <w:lang w:val="en-GB"/>
        </w:rPr>
      </w:pPr>
      <w:r w:rsidRPr="00BA773B">
        <w:rPr>
          <w:rFonts w:ascii="Calibri" w:eastAsia="Calibri" w:hAnsi="Calibri" w:cs="Calibri"/>
          <w:lang w:val="en-GB"/>
        </w:rPr>
        <w:t xml:space="preserve">Surveys and Questionnaires: These quantitative tools provide data on patient preferences, </w:t>
      </w:r>
      <w:proofErr w:type="spellStart"/>
      <w:r w:rsidRPr="00BA773B">
        <w:rPr>
          <w:rFonts w:ascii="Calibri" w:eastAsia="Calibri" w:hAnsi="Calibri" w:cs="Calibri"/>
          <w:lang w:val="en-GB"/>
        </w:rPr>
        <w:t>behaviors</w:t>
      </w:r>
      <w:proofErr w:type="spellEnd"/>
      <w:r w:rsidRPr="00BA773B">
        <w:rPr>
          <w:rFonts w:ascii="Calibri" w:eastAsia="Calibri" w:hAnsi="Calibri" w:cs="Calibri"/>
          <w:lang w:val="en-GB"/>
        </w:rPr>
        <w:t>, and satisfaction on a large scale. They are essential for assessing the quality of healthcare services and identifying areas for improvement. In addition, surveys and questionnaires can be designed for long-term follow-up, allowing healthcare institutions to measure changes and trends over time (30, 35, 36</w:t>
      </w:r>
      <w:r w:rsidRPr="00BA773B">
        <w:rPr>
          <w:rFonts w:ascii="Calibri" w:eastAsia="Aptos" w:hAnsi="Calibri" w:cs="Calibri"/>
          <w:lang w:val="en-GB"/>
        </w:rPr>
        <w:t>)</w:t>
      </w:r>
    </w:p>
    <w:p w14:paraId="5EED94D2" w14:textId="77777777" w:rsidR="00BA773B" w:rsidRPr="00BA773B" w:rsidRDefault="00BA773B" w:rsidP="00BA773B">
      <w:pPr>
        <w:jc w:val="both"/>
        <w:rPr>
          <w:rFonts w:ascii="Aptos" w:eastAsia="Aptos" w:hAnsi="Aptos" w:cs="Arial"/>
          <w:lang w:val="en-GB"/>
        </w:rPr>
      </w:pPr>
      <w:r w:rsidRPr="00BA773B">
        <w:rPr>
          <w:rFonts w:ascii="Calibri" w:eastAsia="Calibri" w:hAnsi="Calibri" w:cs="Calibri"/>
          <w:lang w:val="en-GB"/>
        </w:rPr>
        <w:lastRenderedPageBreak/>
        <w:t>Ethnographic Studies: Through detailed observations and fieldwork, this methodology allows researchers to immerse themselves in patients’ everyday lives. Ethnographic studies are particularly valuable for understanding how patients manage their conditions in their own environments, providing deep insights that may be invisible in a clinical context (</w:t>
      </w:r>
      <w:r w:rsidRPr="00BA773B">
        <w:rPr>
          <w:rFonts w:ascii="Aptos" w:eastAsia="Aptos" w:hAnsi="Aptos" w:cs="Arial"/>
          <w:lang w:val="en-GB"/>
        </w:rPr>
        <w:t>37)</w:t>
      </w:r>
    </w:p>
    <w:p w14:paraId="5B732470" w14:textId="77777777" w:rsidR="00BA773B" w:rsidRPr="00BA773B" w:rsidRDefault="00BA773B" w:rsidP="00BA773B">
      <w:pPr>
        <w:jc w:val="both"/>
        <w:rPr>
          <w:rFonts w:ascii="Aptos" w:eastAsia="Aptos" w:hAnsi="Aptos" w:cs="Arial"/>
          <w:lang w:val="en-GB"/>
        </w:rPr>
      </w:pPr>
      <w:r w:rsidRPr="00BA773B">
        <w:rPr>
          <w:rFonts w:ascii="Calibri" w:eastAsia="Calibri" w:hAnsi="Calibri" w:cs="Calibri"/>
          <w:lang w:val="en-GB"/>
        </w:rPr>
        <w:t>Participatory Action Research (PAR): PAR is a collaborative approach that involves patients not just as study subjects but as active co-researchers. This model fosters a symbiotic relationship between researchers and participants, enabling the development of solutions that genuinely reflect patients’ needs and desires. PAR is particularly effective in communities where changes in healthcare can have significant cultural or social impact (</w:t>
      </w:r>
      <w:r w:rsidRPr="00BA773B">
        <w:rPr>
          <w:rFonts w:ascii="Aptos" w:eastAsia="Aptos" w:hAnsi="Aptos" w:cs="Arial"/>
          <w:lang w:val="en-GB"/>
        </w:rPr>
        <w:t>38).</w:t>
      </w:r>
    </w:p>
    <w:p w14:paraId="6B49C8F5" w14:textId="77777777" w:rsidR="00BA773B" w:rsidRPr="00BA773B" w:rsidRDefault="00BA773B" w:rsidP="00BA773B">
      <w:pPr>
        <w:jc w:val="both"/>
        <w:rPr>
          <w:rFonts w:ascii="Calibri" w:eastAsia="Calibri" w:hAnsi="Calibri" w:cs="Calibri"/>
          <w:lang w:val="en-GB"/>
        </w:rPr>
      </w:pPr>
      <w:r w:rsidRPr="00BA773B">
        <w:rPr>
          <w:rFonts w:ascii="Calibri" w:eastAsia="Calibri" w:hAnsi="Calibri" w:cs="Calibri"/>
          <w:lang w:val="en-GB"/>
        </w:rPr>
        <w:t>Implementing patient-</w:t>
      </w:r>
      <w:proofErr w:type="spellStart"/>
      <w:r w:rsidRPr="00BA773B">
        <w:rPr>
          <w:rFonts w:ascii="Calibri" w:eastAsia="Calibri" w:hAnsi="Calibri" w:cs="Calibri"/>
          <w:lang w:val="en-GB"/>
        </w:rPr>
        <w:t>centered</w:t>
      </w:r>
      <w:proofErr w:type="spellEnd"/>
      <w:r w:rsidRPr="00BA773B">
        <w:rPr>
          <w:rFonts w:ascii="Calibri" w:eastAsia="Calibri" w:hAnsi="Calibri" w:cs="Calibri"/>
          <w:lang w:val="en-GB"/>
        </w:rPr>
        <w:t xml:space="preserve"> care models not only improves clinical outcomes but also promotes greater patient involvement in their own care, which is essential in the modern era of personalized medicine. These methodologies ensure that healthcare is not only accessible and effective but also more humane and responsive to individual needs.</w:t>
      </w:r>
    </w:p>
    <w:p w14:paraId="3F37FABD" w14:textId="77777777" w:rsidR="00AB2338" w:rsidRPr="00BA773B" w:rsidRDefault="00AB2338" w:rsidP="00BA773B">
      <w:pPr>
        <w:rPr>
          <w:lang w:val="en-GB"/>
        </w:rPr>
      </w:pPr>
    </w:p>
    <w:sectPr w:rsidR="00AB2338" w:rsidRPr="00BA773B">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C38E" w14:textId="77777777" w:rsidR="00575C59" w:rsidRDefault="00575C59" w:rsidP="00B42366">
      <w:pPr>
        <w:spacing w:after="0" w:line="240" w:lineRule="auto"/>
      </w:pPr>
      <w:r>
        <w:separator/>
      </w:r>
    </w:p>
  </w:endnote>
  <w:endnote w:type="continuationSeparator" w:id="0">
    <w:p w14:paraId="03A56485" w14:textId="77777777" w:rsidR="00575C59" w:rsidRDefault="00575C59" w:rsidP="00B4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A8A9" w14:textId="77777777" w:rsidR="00B42366" w:rsidRDefault="00B423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2A86" w14:textId="77777777" w:rsidR="00B42366" w:rsidRDefault="00B4236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FB91" w14:textId="77777777" w:rsidR="00B42366" w:rsidRDefault="00B423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7E16" w14:textId="77777777" w:rsidR="00575C59" w:rsidRDefault="00575C59" w:rsidP="00B42366">
      <w:pPr>
        <w:spacing w:after="0" w:line="240" w:lineRule="auto"/>
      </w:pPr>
      <w:r>
        <w:separator/>
      </w:r>
    </w:p>
  </w:footnote>
  <w:footnote w:type="continuationSeparator" w:id="0">
    <w:p w14:paraId="0AA9C1D1" w14:textId="77777777" w:rsidR="00575C59" w:rsidRDefault="00575C59" w:rsidP="00B42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A88C" w14:textId="77777777" w:rsidR="00B42366" w:rsidRDefault="00B423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8A61" w14:textId="24C34F76" w:rsidR="00B42366" w:rsidRDefault="00B42366">
    <w:pPr>
      <w:pStyle w:val="Encabezado"/>
    </w:pPr>
    <w:r>
      <w:rPr>
        <w:noProof/>
      </w:rPr>
      <w:drawing>
        <wp:anchor distT="0" distB="0" distL="114300" distR="114300" simplePos="0" relativeHeight="251659264" behindDoc="0" locked="0" layoutInCell="1" allowOverlap="1" wp14:anchorId="3A72B2EC" wp14:editId="3FBEBC2C">
          <wp:simplePos x="0" y="0"/>
          <wp:positionH relativeFrom="column">
            <wp:posOffset>4600575</wp:posOffset>
          </wp:positionH>
          <wp:positionV relativeFrom="paragraph">
            <wp:posOffset>-343535</wp:posOffset>
          </wp:positionV>
          <wp:extent cx="1813560" cy="695960"/>
          <wp:effectExtent l="0" t="0" r="0" b="8890"/>
          <wp:wrapNone/>
          <wp:docPr id="1337498442" name="Imagen 11" descr="Texto&#10;&#10;El contenido generado por IA puede ser incorrecto.">
            <a:extLst xmlns:a="http://schemas.openxmlformats.org/drawingml/2006/main">
              <a:ext uri="{FF2B5EF4-FFF2-40B4-BE49-F238E27FC236}">
                <a16:creationId xmlns:a16="http://schemas.microsoft.com/office/drawing/2014/main" id="{FCA4683C-4EBF-3DF0-12DD-E7564048BC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98442" name="Imagen 11" descr="Texto&#10;&#10;El contenido generado por IA puede ser incorrecto.">
                    <a:extLst>
                      <a:ext uri="{FF2B5EF4-FFF2-40B4-BE49-F238E27FC236}">
                        <a16:creationId xmlns:a16="http://schemas.microsoft.com/office/drawing/2014/main" id="{FCA4683C-4EBF-3DF0-12DD-E7564048BC4B}"/>
                      </a:ext>
                    </a:extLst>
                  </pic:cNvPr>
                  <pic:cNvPicPr>
                    <a:picLocks noChangeAspect="1"/>
                  </pic:cNvPicPr>
                </pic:nvPicPr>
                <pic:blipFill>
                  <a:blip r:embed="rId1">
                    <a:extLst>
                      <a:ext uri="{28A0092B-C50C-407E-A947-70E740481C1C}">
                        <a14:useLocalDpi xmlns:a14="http://schemas.microsoft.com/office/drawing/2010/main" val="0"/>
                      </a:ext>
                    </a:extLst>
                  </a:blip>
                  <a:srcRect t="31322" b="30279"/>
                  <a:stretch/>
                </pic:blipFill>
                <pic:spPr>
                  <a:xfrm>
                    <a:off x="0" y="0"/>
                    <a:ext cx="1813560" cy="695960"/>
                  </a:xfrm>
                  <a:prstGeom prst="rect">
                    <a:avLst/>
                  </a:prstGeom>
                  <a:solidFill>
                    <a:sysClr val="window" lastClr="FFFFFF"/>
                  </a:solidFill>
                </pic:spPr>
              </pic:pic>
            </a:graphicData>
          </a:graphic>
        </wp:anchor>
      </w:drawing>
    </w:r>
    <w:r>
      <w:rPr>
        <w:noProof/>
      </w:rPr>
      <w:drawing>
        <wp:anchor distT="0" distB="0" distL="114300" distR="114300" simplePos="0" relativeHeight="251660288" behindDoc="0" locked="0" layoutInCell="1" allowOverlap="1" wp14:anchorId="03EF4E94" wp14:editId="5E38AFD7">
          <wp:simplePos x="0" y="0"/>
          <wp:positionH relativeFrom="column">
            <wp:posOffset>-922020</wp:posOffset>
          </wp:positionH>
          <wp:positionV relativeFrom="paragraph">
            <wp:posOffset>-300990</wp:posOffset>
          </wp:positionV>
          <wp:extent cx="2404110" cy="502920"/>
          <wp:effectExtent l="0" t="0" r="0" b="0"/>
          <wp:wrapNone/>
          <wp:docPr id="96066427" name="Picture 2" descr="Co-funded by the European Union logo in png for web usage">
            <a:extLst xmlns:a="http://schemas.openxmlformats.org/drawingml/2006/main">
              <a:ext uri="{FF2B5EF4-FFF2-40B4-BE49-F238E27FC236}">
                <a16:creationId xmlns:a16="http://schemas.microsoft.com/office/drawing/2014/main" id="{FC939338-0DAD-94F9-F4BF-1492A2DC9F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6427" name="Picture 2" descr="Co-funded by the European Union logo in png for web usage">
                    <a:extLst>
                      <a:ext uri="{FF2B5EF4-FFF2-40B4-BE49-F238E27FC236}">
                        <a16:creationId xmlns:a16="http://schemas.microsoft.com/office/drawing/2014/main" id="{FC939338-0DAD-94F9-F4BF-1492A2DC9F37}"/>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4110" cy="5029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AB46" w14:textId="77777777" w:rsidR="00B42366" w:rsidRDefault="00B423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025B5"/>
    <w:multiLevelType w:val="hybridMultilevel"/>
    <w:tmpl w:val="BE881868"/>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AD52C0F"/>
    <w:multiLevelType w:val="hybridMultilevel"/>
    <w:tmpl w:val="F92246D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03D27DE"/>
    <w:multiLevelType w:val="hybridMultilevel"/>
    <w:tmpl w:val="7B20052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7BE71C3C"/>
    <w:multiLevelType w:val="multilevel"/>
    <w:tmpl w:val="C37E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799819">
    <w:abstractNumId w:val="3"/>
  </w:num>
  <w:num w:numId="2" w16cid:durableId="1857188472">
    <w:abstractNumId w:val="2"/>
  </w:num>
  <w:num w:numId="3" w16cid:durableId="1212841083">
    <w:abstractNumId w:val="0"/>
  </w:num>
  <w:num w:numId="4" w16cid:durableId="193733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38"/>
    <w:rsid w:val="0000546D"/>
    <w:rsid w:val="00010219"/>
    <w:rsid w:val="001B25F3"/>
    <w:rsid w:val="002366D6"/>
    <w:rsid w:val="002E3070"/>
    <w:rsid w:val="002F6C7C"/>
    <w:rsid w:val="00302971"/>
    <w:rsid w:val="00346D5C"/>
    <w:rsid w:val="004B43B1"/>
    <w:rsid w:val="00510D66"/>
    <w:rsid w:val="005677C6"/>
    <w:rsid w:val="00575C59"/>
    <w:rsid w:val="006E0BEE"/>
    <w:rsid w:val="007C33E7"/>
    <w:rsid w:val="00830774"/>
    <w:rsid w:val="00845FA4"/>
    <w:rsid w:val="009A0FE3"/>
    <w:rsid w:val="00A37D29"/>
    <w:rsid w:val="00AB2338"/>
    <w:rsid w:val="00B42366"/>
    <w:rsid w:val="00BA773B"/>
    <w:rsid w:val="00CA7F06"/>
    <w:rsid w:val="00EF0545"/>
    <w:rsid w:val="00F864EF"/>
    <w:rsid w:val="00FF62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253E"/>
  <w15:chartTrackingRefBased/>
  <w15:docId w15:val="{F1F423B7-217D-45A5-A4B2-3B6277DD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E3"/>
    <w:pPr>
      <w:spacing w:line="259" w:lineRule="auto"/>
    </w:pPr>
    <w:rPr>
      <w:sz w:val="22"/>
      <w:szCs w:val="22"/>
    </w:rPr>
  </w:style>
  <w:style w:type="paragraph" w:styleId="Ttulo1">
    <w:name w:val="heading 1"/>
    <w:basedOn w:val="Normal"/>
    <w:next w:val="Normal"/>
    <w:link w:val="Ttulo1Car"/>
    <w:uiPriority w:val="9"/>
    <w:qFormat/>
    <w:rsid w:val="00AB2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2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23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23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23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23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23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23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23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23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23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23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23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23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23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23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23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2338"/>
    <w:rPr>
      <w:rFonts w:eastAsiaTheme="majorEastAsia" w:cstheme="majorBidi"/>
      <w:color w:val="272727" w:themeColor="text1" w:themeTint="D8"/>
    </w:rPr>
  </w:style>
  <w:style w:type="paragraph" w:styleId="Ttulo">
    <w:name w:val="Title"/>
    <w:basedOn w:val="Normal"/>
    <w:next w:val="Normal"/>
    <w:link w:val="TtuloCar"/>
    <w:uiPriority w:val="10"/>
    <w:qFormat/>
    <w:rsid w:val="00AB2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23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23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23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2338"/>
    <w:pPr>
      <w:spacing w:before="160"/>
      <w:jc w:val="center"/>
    </w:pPr>
    <w:rPr>
      <w:i/>
      <w:iCs/>
      <w:color w:val="404040" w:themeColor="text1" w:themeTint="BF"/>
    </w:rPr>
  </w:style>
  <w:style w:type="character" w:customStyle="1" w:styleId="CitaCar">
    <w:name w:val="Cita Car"/>
    <w:basedOn w:val="Fuentedeprrafopredeter"/>
    <w:link w:val="Cita"/>
    <w:uiPriority w:val="29"/>
    <w:rsid w:val="00AB2338"/>
    <w:rPr>
      <w:i/>
      <w:iCs/>
      <w:color w:val="404040" w:themeColor="text1" w:themeTint="BF"/>
    </w:rPr>
  </w:style>
  <w:style w:type="paragraph" w:styleId="Prrafodelista">
    <w:name w:val="List Paragraph"/>
    <w:basedOn w:val="Normal"/>
    <w:uiPriority w:val="34"/>
    <w:qFormat/>
    <w:rsid w:val="00AB2338"/>
    <w:pPr>
      <w:ind w:left="720"/>
      <w:contextualSpacing/>
    </w:pPr>
  </w:style>
  <w:style w:type="character" w:styleId="nfasisintenso">
    <w:name w:val="Intense Emphasis"/>
    <w:basedOn w:val="Fuentedeprrafopredeter"/>
    <w:uiPriority w:val="21"/>
    <w:qFormat/>
    <w:rsid w:val="00AB2338"/>
    <w:rPr>
      <w:i/>
      <w:iCs/>
      <w:color w:val="0F4761" w:themeColor="accent1" w:themeShade="BF"/>
    </w:rPr>
  </w:style>
  <w:style w:type="paragraph" w:styleId="Citadestacada">
    <w:name w:val="Intense Quote"/>
    <w:basedOn w:val="Normal"/>
    <w:next w:val="Normal"/>
    <w:link w:val="CitadestacadaCar"/>
    <w:uiPriority w:val="30"/>
    <w:qFormat/>
    <w:rsid w:val="00AB2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2338"/>
    <w:rPr>
      <w:i/>
      <w:iCs/>
      <w:color w:val="0F4761" w:themeColor="accent1" w:themeShade="BF"/>
    </w:rPr>
  </w:style>
  <w:style w:type="character" w:styleId="Referenciaintensa">
    <w:name w:val="Intense Reference"/>
    <w:basedOn w:val="Fuentedeprrafopredeter"/>
    <w:uiPriority w:val="32"/>
    <w:qFormat/>
    <w:rsid w:val="00AB2338"/>
    <w:rPr>
      <w:b/>
      <w:bCs/>
      <w:smallCaps/>
      <w:color w:val="0F4761" w:themeColor="accent1" w:themeShade="BF"/>
      <w:spacing w:val="5"/>
    </w:rPr>
  </w:style>
  <w:style w:type="paragraph" w:styleId="Textocomentario">
    <w:name w:val="annotation text"/>
    <w:basedOn w:val="Normal"/>
    <w:link w:val="TextocomentarioCar"/>
    <w:uiPriority w:val="99"/>
    <w:unhideWhenUsed/>
    <w:rsid w:val="009A0FE3"/>
    <w:pPr>
      <w:spacing w:line="240" w:lineRule="auto"/>
    </w:pPr>
    <w:rPr>
      <w:sz w:val="20"/>
      <w:szCs w:val="20"/>
    </w:rPr>
  </w:style>
  <w:style w:type="character" w:customStyle="1" w:styleId="TextocomentarioCar">
    <w:name w:val="Texto comentario Car"/>
    <w:basedOn w:val="Fuentedeprrafopredeter"/>
    <w:link w:val="Textocomentario"/>
    <w:uiPriority w:val="99"/>
    <w:rsid w:val="009A0FE3"/>
    <w:rPr>
      <w:sz w:val="20"/>
      <w:szCs w:val="20"/>
    </w:rPr>
  </w:style>
  <w:style w:type="character" w:styleId="Refdecomentario">
    <w:name w:val="annotation reference"/>
    <w:basedOn w:val="Fuentedeprrafopredeter"/>
    <w:uiPriority w:val="99"/>
    <w:semiHidden/>
    <w:unhideWhenUsed/>
    <w:rsid w:val="009A0FE3"/>
    <w:rPr>
      <w:sz w:val="16"/>
      <w:szCs w:val="16"/>
    </w:rPr>
  </w:style>
  <w:style w:type="paragraph" w:styleId="Encabezado">
    <w:name w:val="header"/>
    <w:basedOn w:val="Normal"/>
    <w:link w:val="EncabezadoCar"/>
    <w:uiPriority w:val="99"/>
    <w:unhideWhenUsed/>
    <w:rsid w:val="00B423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2366"/>
    <w:rPr>
      <w:sz w:val="22"/>
      <w:szCs w:val="22"/>
    </w:rPr>
  </w:style>
  <w:style w:type="paragraph" w:styleId="Piedepgina">
    <w:name w:val="footer"/>
    <w:basedOn w:val="Normal"/>
    <w:link w:val="PiedepginaCar"/>
    <w:uiPriority w:val="99"/>
    <w:unhideWhenUsed/>
    <w:rsid w:val="00B423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236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cd2701c-aa9b-4d12-ba20-f3e3b83070c1}" enabled="0" method="" siteId="{bcd2701c-aa9b-4d12-ba20-f3e3b83070c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3984</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Chana Valero</dc:creator>
  <cp:keywords/>
  <dc:description/>
  <cp:lastModifiedBy>Pedro Chana Valero</cp:lastModifiedBy>
  <cp:revision>10</cp:revision>
  <dcterms:created xsi:type="dcterms:W3CDTF">2026-02-23T20:52:00Z</dcterms:created>
  <dcterms:modified xsi:type="dcterms:W3CDTF">2026-02-26T10:38:00Z</dcterms:modified>
</cp:coreProperties>
</file>